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87EDD9F" wp14:paraId="4DACCB68" wp14:textId="56616144">
      <w:pPr>
        <w:spacing w:before="240" w:beforeAutospacing="off" w:after="240" w:afterAutospacing="off"/>
        <w:jc w:val="center"/>
      </w:pPr>
      <w:r w:rsidR="2C288053">
        <w:drawing>
          <wp:inline xmlns:wp14="http://schemas.microsoft.com/office/word/2010/wordprocessingDrawing" wp14:editId="44252518" wp14:anchorId="7E77BCB5">
            <wp:extent cx="1266825" cy="865664"/>
            <wp:effectExtent l="0" t="0" r="0" b="0"/>
            <wp:docPr id="20338042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26f0846a6843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6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87EDD9F" wp14:paraId="25BBA1B0" wp14:textId="2A31BF9D">
      <w:pPr>
        <w:pStyle w:val="Normal"/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noProof w:val="0"/>
          <w:color w:val="C00000"/>
          <w:sz w:val="22"/>
          <w:szCs w:val="22"/>
          <w:lang w:val="es-ES"/>
        </w:rPr>
      </w:pPr>
      <w:r w:rsidRPr="287EDD9F" w:rsidR="3A48AF47">
        <w:rPr>
          <w:rFonts w:ascii="Calibri" w:hAnsi="Calibri" w:eastAsia="Calibri" w:cs="Calibri"/>
          <w:b w:val="1"/>
          <w:bCs w:val="1"/>
          <w:noProof w:val="0"/>
          <w:color w:val="C00000"/>
          <w:sz w:val="22"/>
          <w:szCs w:val="22"/>
          <w:lang w:val="es-ES"/>
        </w:rPr>
        <w:t>UN CLÁSICO INOLVIDABLE PARA PAPÁ: THE MACALLAN SHERRY OAK</w:t>
      </w:r>
    </w:p>
    <w:p xmlns:wp14="http://schemas.microsoft.com/office/word/2010/wordml" w:rsidP="287EDD9F" wp14:paraId="0A02B484" wp14:textId="3FD58600">
      <w:pPr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</w:pPr>
      <w:r w:rsidR="27152CC0">
        <w:drawing>
          <wp:inline xmlns:wp14="http://schemas.microsoft.com/office/word/2010/wordprocessingDrawing" wp14:editId="4F6B2539" wp14:anchorId="75217958">
            <wp:extent cx="4752975" cy="3168650"/>
            <wp:effectExtent l="0" t="0" r="0" b="0"/>
            <wp:docPr id="15262558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05cced9f1f64dc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DA1BC79" wp14:paraId="6E364B37" wp14:textId="35301E43">
      <w:pPr>
        <w:pStyle w:val="Normal"/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287EDD9F" w:rsidR="3A48AF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Ciudad de México, 2025 -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Hay regalos que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celebran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el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momento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, y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otros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que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rinden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tributo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al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legado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. Este Día del Padre, </w:t>
      </w:r>
      <w:r w:rsidRPr="287EDD9F" w:rsidR="3A48AF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The</w:t>
      </w:r>
      <w:r w:rsidRPr="287EDD9F" w:rsidR="3A48AF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Macallan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invita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a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conmemorar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los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lazos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que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perduran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a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través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de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generaciones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con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una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colección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de whiskies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excepcionales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: la </w:t>
      </w:r>
      <w:r w:rsidRPr="287EDD9F" w:rsidR="3A48AF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Sherry </w:t>
      </w:r>
      <w:r w:rsidRPr="287EDD9F" w:rsidR="3A48AF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Oak</w:t>
      </w:r>
      <w:r w:rsidRPr="287EDD9F" w:rsidR="3A48AF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Range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,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una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familia de </w:t>
      </w:r>
      <w:r w:rsidRPr="287EDD9F" w:rsidR="3A48AF4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  <w:t>single</w:t>
      </w:r>
      <w:r w:rsidRPr="287EDD9F" w:rsidR="3A48AF4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  <w:t>malts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que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encarna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la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riqueza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del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tiempo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y la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herencia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.</w:t>
      </w:r>
    </w:p>
    <w:p xmlns:wp14="http://schemas.microsoft.com/office/word/2010/wordml" w:rsidP="67E8CEDA" wp14:paraId="3DE00F8D" wp14:textId="6AB15AFF">
      <w:pPr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Elaborados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barricas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roble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europeo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sazonado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 Jerez,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cuya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madera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proviene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bosques del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norte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España y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el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sur de Francia,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estos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líquidos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expresan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una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personalidad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única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Se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trata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maderas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sumamente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escasas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lo que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hace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que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el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whisky que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reposa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en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ellas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también lo sea. </w:t>
      </w:r>
    </w:p>
    <w:p xmlns:wp14="http://schemas.microsoft.com/office/word/2010/wordml" w:rsidP="67E8CEDA" wp14:paraId="4D86CCD8" wp14:textId="59BD9222">
      <w:pPr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Cada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expresión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—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desde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un </w:t>
      </w:r>
      <w:r w:rsidRPr="67E8CEDA" w:rsidR="3A48AF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12 </w:t>
      </w:r>
      <w:r w:rsidRPr="67E8CEDA" w:rsidR="3A48AF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años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notas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a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especias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frutos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secos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pasando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por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el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clásico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18 </w:t>
      </w:r>
      <w:r w:rsidRPr="67E8CEDA" w:rsidR="3A48AF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años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que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nos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brinda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un poco de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jengibre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pasas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hasta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llegar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al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majestuoso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25 </w:t>
      </w:r>
      <w:r w:rsidRPr="67E8CEDA" w:rsidR="3A48AF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años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que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ofrece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intensidad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plenitud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notas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cítricas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avellanas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madera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tostada—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refleja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una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evolución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aromática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que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honra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el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arte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del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buen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hacer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La familia </w:t>
      </w:r>
      <w:r w:rsidRPr="67E8CEDA" w:rsidR="3A48AF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Sherry Oak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destaca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por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su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carácter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riqueza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profundidad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cualidades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que también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definen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los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padres que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deseamos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homenajear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67E8CEDA" wp14:paraId="41CC8C4C" wp14:textId="053D3BEB">
      <w:pPr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Ideal tanto para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exploradores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recientes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como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para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verdaderos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apasionados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del whisky,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esta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colección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representa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mucho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más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que un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obsequio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es un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símbolo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admiración</w:t>
      </w:r>
      <w:r w:rsidRPr="67E8CEDA" w:rsidR="3A48AF47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xmlns:wp14="http://schemas.microsoft.com/office/word/2010/wordml" w:rsidP="67E8CEDA" wp14:paraId="2C078E63" wp14:textId="46EC040F">
      <w:pPr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Reconocida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por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su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compromiso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con la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excelencia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, la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destilería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de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The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Macallan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ha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construido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un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legado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que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convierte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cada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expresión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en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un testimonio de valor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duradero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. Ya sea para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disfrutar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en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el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presente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o para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formar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parte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de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una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colección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personal,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regalar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The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Macallan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es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rendir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homenaje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a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quienes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dejan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huella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en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nuestra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historia</w:t>
      </w:r>
      <w:r w:rsidRPr="287EDD9F" w:rsidR="3A48AF47">
        <w:rPr>
          <w:rFonts w:ascii="Calibri" w:hAnsi="Calibri" w:eastAsia="Calibri" w:cs="Calibri"/>
          <w:noProof w:val="0"/>
          <w:sz w:val="22"/>
          <w:szCs w:val="22"/>
          <w:lang w:val="es-ES"/>
        </w:rPr>
        <w:t>.</w:t>
      </w:r>
    </w:p>
    <w:p w:rsidR="0DA1BC79" w:rsidP="287EDD9F" w:rsidRDefault="0DA1BC79" w14:paraId="7DEA6FC5" w14:textId="58AECA6A">
      <w:pPr>
        <w:spacing w:before="240" w:beforeAutospacing="off" w:after="200" w:afterAutospacing="off" w:line="240" w:lineRule="auto"/>
        <w:ind w:left="0" w:hanging="1" w:firstLine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-o0o-</w:t>
      </w:r>
    </w:p>
    <w:p w:rsidR="0DA1BC79" w:rsidP="287EDD9F" w:rsidRDefault="0DA1BC79" w14:paraId="297295B9" w14:textId="198E0ADB">
      <w:pPr>
        <w:spacing w:before="240" w:beforeAutospacing="off" w:after="240" w:afterAutospacing="off" w:line="240" w:lineRule="auto"/>
        <w:ind w:left="-2" w:hanging="1" w:firstLine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287EDD9F" w:rsidR="68D0CD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another</w:t>
      </w:r>
    </w:p>
    <w:p w:rsidR="0DA1BC79" w:rsidP="287EDD9F" w:rsidRDefault="0DA1BC79" w14:paraId="36C2B34F" w14:textId="7C399225">
      <w:pPr>
        <w:spacing w:before="240" w:beforeAutospacing="off" w:after="240" w:afterAutospacing="off" w:line="240" w:lineRule="auto"/>
        <w:ind w:left="-2" w:hanging="1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ES"/>
        </w:rPr>
      </w:pP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Andressa Vilela</w:t>
      </w:r>
    </w:p>
    <w:p w:rsidR="0DA1BC79" w:rsidP="287EDD9F" w:rsidRDefault="0DA1BC79" w14:paraId="1C3210DF" w14:textId="171FE1B9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before="240" w:beforeAutospacing="off" w:after="240" w:afterAutospacing="off" w:line="240" w:lineRule="auto"/>
        <w:ind w:left="0" w:hanging="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ES"/>
        </w:rPr>
      </w:pP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Client Services Manager</w:t>
      </w:r>
    </w:p>
    <w:p w:rsidR="0DA1BC79" w:rsidP="287EDD9F" w:rsidRDefault="0DA1BC79" w14:paraId="2241FEF0" w14:textId="16888698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before="240" w:beforeAutospacing="off" w:after="240" w:afterAutospacing="off" w:line="240" w:lineRule="auto"/>
        <w:ind w:left="0" w:hanging="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s-ES"/>
        </w:rPr>
      </w:pPr>
      <w:hyperlink r:id="R86956f21992245ef">
        <w:r w:rsidRPr="287EDD9F" w:rsidR="68D0CD4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C00000"/>
            <w:sz w:val="20"/>
            <w:szCs w:val="20"/>
            <w:lang w:val="es-MX"/>
          </w:rPr>
          <w:t>andressa.vilela@another.co</w:t>
        </w:r>
      </w:hyperlink>
    </w:p>
    <w:p w:rsidR="0DA1BC79" w:rsidP="287EDD9F" w:rsidRDefault="0DA1BC79" w14:paraId="6E88F4CC" w14:textId="584AA4FC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before="0" w:beforeAutospacing="off" w:after="0" w:afterAutospacing="off" w:line="240" w:lineRule="auto"/>
        <w:ind w:left="0" w:right="0" w:hanging="2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ES"/>
        </w:rPr>
      </w:pP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Daniela Caldelas</w:t>
      </w:r>
    </w:p>
    <w:p w:rsidR="0DA1BC79" w:rsidP="287EDD9F" w:rsidRDefault="0DA1BC79" w14:paraId="68B910CA" w14:textId="6A1C0A64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before="240" w:beforeAutospacing="off" w:after="240" w:afterAutospacing="off" w:line="240" w:lineRule="auto"/>
        <w:ind w:left="0" w:hanging="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ES"/>
        </w:rPr>
      </w:pP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Sr. PR Executive </w:t>
      </w:r>
    </w:p>
    <w:p w:rsidR="0DA1BC79" w:rsidP="287EDD9F" w:rsidRDefault="0DA1BC79" w14:paraId="01C4F363" w14:textId="07A6A50F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before="240" w:beforeAutospacing="off" w:after="240" w:afterAutospacing="off" w:line="240" w:lineRule="auto"/>
        <w:ind w:left="0" w:hanging="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s-ES"/>
        </w:rPr>
      </w:pPr>
      <w:hyperlink r:id="R3301c201e588491d">
        <w:r w:rsidRPr="287EDD9F" w:rsidR="68D0CD4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C00000"/>
            <w:sz w:val="20"/>
            <w:szCs w:val="20"/>
            <w:lang w:val="es-MX"/>
          </w:rPr>
          <w:t>daniela.caldelas@another.co</w:t>
        </w:r>
      </w:hyperlink>
    </w:p>
    <w:p w:rsidR="0DA1BC79" w:rsidP="287EDD9F" w:rsidRDefault="0DA1BC79" w14:paraId="5C0EEE30" w14:textId="5BFE58DC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before="0" w:beforeAutospacing="off" w:after="0" w:afterAutospacing="off" w:line="240" w:lineRule="auto"/>
        <w:ind w:left="0" w:right="0" w:hanging="2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ES"/>
        </w:rPr>
      </w:pP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Marina Coloapa</w:t>
      </w:r>
    </w:p>
    <w:p w:rsidR="0DA1BC79" w:rsidP="287EDD9F" w:rsidRDefault="0DA1BC79" w14:paraId="0D36AC17" w14:textId="0DEF55E0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before="240" w:beforeAutospacing="off" w:after="240" w:afterAutospacing="off" w:line="240" w:lineRule="auto"/>
        <w:ind w:left="0" w:hanging="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ES"/>
        </w:rPr>
      </w:pP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PR Executive </w:t>
      </w:r>
    </w:p>
    <w:p w:rsidR="0DA1BC79" w:rsidP="287EDD9F" w:rsidRDefault="0DA1BC79" w14:paraId="14D4B633" w14:textId="7B7706BB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before="240" w:beforeAutospacing="off" w:after="240" w:afterAutospacing="off" w:line="240" w:lineRule="auto"/>
        <w:ind w:left="0" w:hanging="2"/>
        <w:rPr>
          <w:color w:val="C00000"/>
        </w:rPr>
      </w:pPr>
      <w:hyperlink r:id="Rbbb7e38d8cbd40c7">
        <w:r w:rsidRPr="287EDD9F" w:rsidR="68D0CD4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C00000"/>
            <w:sz w:val="20"/>
            <w:szCs w:val="20"/>
            <w:lang w:val="es-MX"/>
          </w:rPr>
          <w:t>marina.coloapa@another.co</w:t>
        </w:r>
      </w:hyperlink>
    </w:p>
    <w:p w:rsidR="0DA1BC79" w:rsidP="287EDD9F" w:rsidRDefault="0DA1BC79" w14:paraId="33EA9E7C" w14:textId="15DC9DCB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before="240" w:beforeAutospacing="off" w:after="240" w:afterAutospacing="off" w:line="240" w:lineRule="auto"/>
        <w:ind w:left="0" w:hanging="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MX"/>
        </w:rPr>
      </w:pPr>
    </w:p>
    <w:p w:rsidR="0DA1BC79" w:rsidP="287EDD9F" w:rsidRDefault="0DA1BC79" w14:paraId="3C28EFE0" w14:textId="0CD7FAB7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before="240" w:beforeAutospacing="off" w:after="240" w:afterAutospacing="off" w:line="240" w:lineRule="auto"/>
        <w:ind w:left="0" w:hanging="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ES"/>
        </w:rPr>
      </w:pPr>
      <w:r w:rsidRPr="287EDD9F" w:rsidR="68D0CD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Sobre </w:t>
      </w:r>
      <w:r w:rsidRPr="287EDD9F" w:rsidR="68D0CD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The</w:t>
      </w:r>
      <w:r w:rsidRPr="287EDD9F" w:rsidR="68D0CD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 </w:t>
      </w:r>
      <w:r w:rsidRPr="287EDD9F" w:rsidR="68D0CD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Macallan</w:t>
      </w:r>
    </w:p>
    <w:p w:rsidR="0DA1BC79" w:rsidP="287EDD9F" w:rsidRDefault="0DA1BC79" w14:paraId="272EBAA4" w14:textId="4CC7C50D">
      <w:pPr>
        <w:spacing w:before="240" w:beforeAutospacing="off" w:after="240" w:afterAutospacing="off" w:line="240" w:lineRule="auto"/>
        <w:ind w:left="0" w:hanging="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ES"/>
        </w:rPr>
      </w:pPr>
      <w:hyperlink r:id="R982356c40b8f46e9">
        <w:r w:rsidRPr="287EDD9F" w:rsidR="68D0CD4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C00000"/>
            <w:sz w:val="20"/>
            <w:szCs w:val="20"/>
            <w:lang w:val="es-MX"/>
          </w:rPr>
          <w:t>The Macallan</w:t>
        </w:r>
      </w:hyperlink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943634"/>
          <w:sz w:val="20"/>
          <w:szCs w:val="20"/>
          <w:lang w:val="es-MX"/>
        </w:rPr>
        <w:t xml:space="preserve">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es conocido mundialmente por sus extraordinarios whiskies de malta. Han pasado dos siglos desde que Alexander Reid, fundador de la marca, destilara el primer lote de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whisky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 en sus curiosamente pequeños alambiques en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Speyside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, Escocia, en 1824, comenzando así el extraordinario legado de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whisky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 escocés de malta.</w:t>
      </w:r>
    </w:p>
    <w:p w:rsidR="0DA1BC79" w:rsidP="287EDD9F" w:rsidRDefault="0DA1BC79" w14:paraId="5276AEF6" w14:textId="685CDDC2">
      <w:pPr>
        <w:spacing w:before="240" w:beforeAutospacing="off" w:after="240" w:afterAutospacing="off" w:line="240" w:lineRule="auto"/>
        <w:ind w:left="0" w:hanging="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ES"/>
        </w:rPr>
      </w:pP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La seña de identidad de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The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Macallan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 es una obsesión por la calidad y la artesanía.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La personalidad única y la calidad excepcional de cada whisky se deben al uso de unas excepcionales barricas de roble que previamente han albergado jerez para conseguir un color natural gracias a una maestría única.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The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Macallan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Distillery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, que se encuentra en una finca de casi 200 hectáreas, ha sido diseñada por arquitectos de talla internacional inspirándose en las características colinas escocesas que rodean el espacio.</w:t>
      </w:r>
    </w:p>
    <w:p w:rsidR="0DA1BC79" w:rsidP="287EDD9F" w:rsidRDefault="0DA1BC79" w14:paraId="0EA3F2FF" w14:textId="10B30AC6">
      <w:pPr>
        <w:spacing w:before="240" w:beforeAutospacing="off" w:after="240" w:afterAutospacing="off" w:line="240" w:lineRule="auto"/>
        <w:ind w:left="0" w:hanging="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ES"/>
        </w:rPr>
      </w:pP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Los 200 años de historia han sido solo el prólogo de nuevos capítulos en la historia de la marca. Y es que es un viaje por el tiempo. Porque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The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Macallan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 tiene 200 años de juventud. Elaborado con la máxima dedicación. Consuma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The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Macallan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 con responsabilidad. Si desea más información, visite </w:t>
      </w:r>
      <w:hyperlink r:id="R45a0332214e24143">
        <w:r w:rsidRPr="287EDD9F" w:rsidR="68D0CD4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C00000"/>
            <w:sz w:val="20"/>
            <w:szCs w:val="20"/>
            <w:lang w:val="es-MX"/>
          </w:rPr>
          <w:t>www.themacallan.com</w:t>
        </w:r>
      </w:hyperlink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943634"/>
          <w:sz w:val="20"/>
          <w:szCs w:val="20"/>
          <w:lang w:val="es-MX"/>
        </w:rPr>
        <w:t xml:space="preserve">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y únase a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The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Macallan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 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>Society</w:t>
      </w:r>
      <w:r w:rsidRPr="287EDD9F" w:rsidR="68D0C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121"/>
          <w:sz w:val="20"/>
          <w:szCs w:val="20"/>
          <w:lang w:val="es-MX"/>
        </w:rPr>
        <w:t xml:space="preserve"> para conocer las historias detrás de nuestros whiskies.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88ef82773e4402c"/>
      <w:footerReference w:type="default" r:id="R72c410bddb924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7EDD9F" w:rsidTr="287EDD9F" w14:paraId="354E8857">
      <w:trPr>
        <w:trHeight w:val="300"/>
      </w:trPr>
      <w:tc>
        <w:tcPr>
          <w:tcW w:w="3120" w:type="dxa"/>
          <w:tcMar/>
        </w:tcPr>
        <w:p w:rsidR="287EDD9F" w:rsidP="287EDD9F" w:rsidRDefault="287EDD9F" w14:paraId="559117D1" w14:textId="08A2BED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87EDD9F" w:rsidP="287EDD9F" w:rsidRDefault="287EDD9F" w14:paraId="0F8170E7" w14:textId="4BB6556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87EDD9F" w:rsidP="287EDD9F" w:rsidRDefault="287EDD9F" w14:paraId="48837C43" w14:textId="65499E1E">
          <w:pPr>
            <w:pStyle w:val="Header"/>
            <w:bidi w:val="0"/>
            <w:ind w:right="-115"/>
            <w:jc w:val="right"/>
          </w:pPr>
        </w:p>
      </w:tc>
    </w:tr>
  </w:tbl>
  <w:p w:rsidR="287EDD9F" w:rsidP="287EDD9F" w:rsidRDefault="287EDD9F" w14:paraId="5E8828C5" w14:textId="2C40245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7EDD9F" w:rsidTr="287EDD9F" w14:paraId="498B6E3C">
      <w:trPr>
        <w:trHeight w:val="300"/>
      </w:trPr>
      <w:tc>
        <w:tcPr>
          <w:tcW w:w="3120" w:type="dxa"/>
          <w:tcMar/>
        </w:tcPr>
        <w:p w:rsidR="287EDD9F" w:rsidP="287EDD9F" w:rsidRDefault="287EDD9F" w14:paraId="1F25E510" w14:textId="4D054D3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87EDD9F" w:rsidP="287EDD9F" w:rsidRDefault="287EDD9F" w14:paraId="46147DB5" w14:textId="1028DD1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87EDD9F" w:rsidP="287EDD9F" w:rsidRDefault="287EDD9F" w14:paraId="1271A21A" w14:textId="1556D614">
          <w:pPr>
            <w:pStyle w:val="Header"/>
            <w:bidi w:val="0"/>
            <w:ind w:right="-115"/>
            <w:jc w:val="right"/>
          </w:pPr>
        </w:p>
      </w:tc>
    </w:tr>
  </w:tbl>
  <w:p w:rsidR="287EDD9F" w:rsidP="287EDD9F" w:rsidRDefault="287EDD9F" w14:paraId="421C85CD" w14:textId="16A6CAC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846653"/>
    <w:rsid w:val="052D2128"/>
    <w:rsid w:val="0DA1BC79"/>
    <w:rsid w:val="1ED2F840"/>
    <w:rsid w:val="26B72F4B"/>
    <w:rsid w:val="27152CC0"/>
    <w:rsid w:val="287EDD9F"/>
    <w:rsid w:val="2C288053"/>
    <w:rsid w:val="2C483067"/>
    <w:rsid w:val="3A48AF47"/>
    <w:rsid w:val="5DED292E"/>
    <w:rsid w:val="67E8CEDA"/>
    <w:rsid w:val="68D0CD4E"/>
    <w:rsid w:val="6A84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6653"/>
  <w15:chartTrackingRefBased/>
  <w15:docId w15:val="{D40FCD04-2041-41D4-A3B1-F1C7E0BCEB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87EDD9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87EDD9F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287EDD9F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826f0846a684373" /><Relationship Type="http://schemas.openxmlformats.org/officeDocument/2006/relationships/image" Target="/media/image.jpg" Id="R105cced9f1f64dcc" /><Relationship Type="http://schemas.openxmlformats.org/officeDocument/2006/relationships/hyperlink" Target="mailto:andressa.vilela@another.co" TargetMode="External" Id="R86956f21992245ef" /><Relationship Type="http://schemas.openxmlformats.org/officeDocument/2006/relationships/hyperlink" Target="mailto:daniela.caldelas@another.co" TargetMode="External" Id="R3301c201e588491d" /><Relationship Type="http://schemas.openxmlformats.org/officeDocument/2006/relationships/hyperlink" Target="mailto:marina.coloapa@another.co" TargetMode="External" Id="Rbbb7e38d8cbd40c7" /><Relationship Type="http://schemas.openxmlformats.org/officeDocument/2006/relationships/hyperlink" Target="https://themacallan.com/" TargetMode="External" Id="R982356c40b8f46e9" /><Relationship Type="http://schemas.openxmlformats.org/officeDocument/2006/relationships/hyperlink" Target="http://www.themacallan.com/" TargetMode="External" Id="R45a0332214e24143" /><Relationship Type="http://schemas.openxmlformats.org/officeDocument/2006/relationships/header" Target="header.xml" Id="Rc88ef82773e4402c" /><Relationship Type="http://schemas.openxmlformats.org/officeDocument/2006/relationships/footer" Target="footer.xml" Id="R72c410bddb92439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54F4193FDBB4CB7B12F6A0D3C836E" ma:contentTypeVersion="16" ma:contentTypeDescription="Create a new document." ma:contentTypeScope="" ma:versionID="c704d5aa115e7c8d28cbf7b578f7fc3f">
  <xsd:schema xmlns:xsd="http://www.w3.org/2001/XMLSchema" xmlns:xs="http://www.w3.org/2001/XMLSchema" xmlns:p="http://schemas.microsoft.com/office/2006/metadata/properties" xmlns:ns2="5962d63f-c590-41f0-ab81-7b0a2951ff21" xmlns:ns3="0f610f81-cf89-4291-ba3d-a1dc0e2c3a56" targetNamespace="http://schemas.microsoft.com/office/2006/metadata/properties" ma:root="true" ma:fieldsID="e1ac7672752b0157d929eb1f0bfd00dd" ns2:_="" ns3:_="">
    <xsd:import namespace="5962d63f-c590-41f0-ab81-7b0a2951ff21"/>
    <xsd:import namespace="0f610f81-cf89-4291-ba3d-a1dc0e2c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d63f-c590-41f0-ab81-7b0a2951f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10f81-cf89-4291-ba3d-a1dc0e2c3a5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e6578b-92f2-4780-ad50-eba49359cc10}" ma:internalName="TaxCatchAll" ma:showField="CatchAllData" ma:web="0f610f81-cf89-4291-ba3d-a1dc0e2c3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10f81-cf89-4291-ba3d-a1dc0e2c3a56" xsi:nil="true"/>
    <lcf76f155ced4ddcb4097134ff3c332f xmlns="5962d63f-c590-41f0-ab81-7b0a2951ff21">
      <Terms xmlns="http://schemas.microsoft.com/office/infopath/2007/PartnerControls"/>
    </lcf76f155ced4ddcb4097134ff3c332f>
    <SharedWithUsers xmlns="0f610f81-cf89-4291-ba3d-a1dc0e2c3a5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7A417E-EAE9-4420-8124-010D21FE2161}"/>
</file>

<file path=customXml/itemProps2.xml><?xml version="1.0" encoding="utf-8"?>
<ds:datastoreItem xmlns:ds="http://schemas.openxmlformats.org/officeDocument/2006/customXml" ds:itemID="{696489C5-FDA0-4097-8C03-6440241DB04B}"/>
</file>

<file path=customXml/itemProps3.xml><?xml version="1.0" encoding="utf-8"?>
<ds:datastoreItem xmlns:ds="http://schemas.openxmlformats.org/officeDocument/2006/customXml" ds:itemID="{87CA0E6A-CC6F-4B2B-B0E1-E2D69B5675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Caldelas</dc:creator>
  <keywords/>
  <dc:description/>
  <lastModifiedBy>Daniela Caldelas</lastModifiedBy>
  <dcterms:created xsi:type="dcterms:W3CDTF">2025-05-13T17:03:54.0000000Z</dcterms:created>
  <dcterms:modified xsi:type="dcterms:W3CDTF">2025-05-13T17:48:34.7512339Z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0x0101008AA54F4193FDBB4CB7B12F6A0D3C836E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